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67" w:rsidRPr="004E562E" w:rsidRDefault="00EA7767">
      <w:pPr>
        <w:rPr>
          <w:sz w:val="2"/>
          <w:szCs w:val="2"/>
          <w:lang w:val="cs-CZ"/>
        </w:rPr>
      </w:pPr>
    </w:p>
    <w:p w:rsidR="00EA7767" w:rsidRPr="004E562E" w:rsidRDefault="00077857">
      <w:pPr>
        <w:pStyle w:val="Heading10"/>
        <w:framePr w:w="8328" w:h="1176" w:hRule="exact" w:wrap="around" w:vAnchor="page" w:hAnchor="page" w:x="1796" w:y="1491"/>
        <w:shd w:val="clear" w:color="auto" w:fill="auto"/>
        <w:spacing w:after="0" w:line="280" w:lineRule="exact"/>
        <w:ind w:left="1536" w:right="1555"/>
        <w:rPr>
          <w:lang w:val="cs-CZ"/>
        </w:rPr>
      </w:pPr>
      <w:bookmarkStart w:id="0" w:name="bookmark0"/>
      <w:r w:rsidRPr="004E562E">
        <w:rPr>
          <w:lang w:val="cs-CZ"/>
        </w:rPr>
        <w:t>Zpráva</w:t>
      </w:r>
      <w:bookmarkEnd w:id="0"/>
    </w:p>
    <w:p w:rsidR="00EA7767" w:rsidRPr="004E562E" w:rsidRDefault="00B8703A">
      <w:pPr>
        <w:pStyle w:val="Heading20"/>
        <w:framePr w:w="8328" w:h="1176" w:hRule="exact" w:wrap="around" w:vAnchor="page" w:hAnchor="page" w:x="1796" w:y="1491"/>
        <w:shd w:val="clear" w:color="auto" w:fill="auto"/>
        <w:spacing w:before="0" w:after="0"/>
        <w:ind w:left="1536" w:right="1555"/>
        <w:rPr>
          <w:lang w:val="cs-CZ"/>
        </w:rPr>
      </w:pPr>
      <w:bookmarkStart w:id="1" w:name="bookmark1"/>
      <w:r>
        <w:rPr>
          <w:lang w:val="cs-CZ"/>
        </w:rPr>
        <w:t>Biblického badatelského v</w:t>
      </w:r>
      <w:r w:rsidR="00077857" w:rsidRPr="004E562E">
        <w:rPr>
          <w:lang w:val="cs-CZ"/>
        </w:rPr>
        <w:t xml:space="preserve">ýboru (BRC) </w:t>
      </w:r>
      <w:r w:rsidR="00E05DCC" w:rsidRPr="004E562E">
        <w:rPr>
          <w:lang w:val="cs-CZ"/>
        </w:rPr>
        <w:br/>
      </w:r>
      <w:r w:rsidR="00077857" w:rsidRPr="004E562E">
        <w:rPr>
          <w:lang w:val="cs-CZ"/>
        </w:rPr>
        <w:t>Inter-evropské divize</w:t>
      </w:r>
      <w:r w:rsidR="00E05DCC" w:rsidRPr="004E562E">
        <w:rPr>
          <w:lang w:val="cs-CZ"/>
        </w:rPr>
        <w:br/>
      </w:r>
      <w:r w:rsidR="00077857" w:rsidRPr="004E562E">
        <w:rPr>
          <w:lang w:val="cs-CZ"/>
        </w:rPr>
        <w:t>o ordinaci žen ke kazatelské službě</w:t>
      </w:r>
      <w:bookmarkEnd w:id="1"/>
    </w:p>
    <w:p w:rsidR="00EA7767" w:rsidRPr="004E562E" w:rsidRDefault="00077857" w:rsidP="00077857">
      <w:pPr>
        <w:pStyle w:val="Zkladntext1"/>
        <w:framePr w:w="8328" w:h="12190" w:hRule="exact" w:wrap="around" w:vAnchor="page" w:hAnchor="page" w:x="1796" w:y="3166"/>
        <w:shd w:val="clear" w:color="auto" w:fill="auto"/>
        <w:spacing w:before="0" w:after="291"/>
        <w:ind w:left="20" w:right="20" w:firstLine="720"/>
        <w:rPr>
          <w:lang w:val="cs-CZ"/>
        </w:rPr>
      </w:pPr>
      <w:r w:rsidRPr="004E562E">
        <w:rPr>
          <w:lang w:val="cs-CZ"/>
        </w:rPr>
        <w:t xml:space="preserve">Po důkladném prostudování podkladů prezentovaných </w:t>
      </w:r>
      <w:r w:rsidR="00B8703A">
        <w:rPr>
          <w:lang w:val="cs-CZ"/>
        </w:rPr>
        <w:t>Biblickým badatelským výborem</w:t>
      </w:r>
      <w:r w:rsidRPr="004E562E">
        <w:rPr>
          <w:lang w:val="cs-CZ"/>
        </w:rPr>
        <w:t xml:space="preserve"> Inter-evropské divize (EUD) a materiálů prezentovaných při setkání TOSC z </w:t>
      </w:r>
      <w:proofErr w:type="gramStart"/>
      <w:r w:rsidRPr="004E562E">
        <w:rPr>
          <w:lang w:val="cs-CZ"/>
        </w:rPr>
        <w:t>15.-17</w:t>
      </w:r>
      <w:proofErr w:type="gramEnd"/>
      <w:r w:rsidRPr="004E562E">
        <w:rPr>
          <w:lang w:val="cs-CZ"/>
        </w:rPr>
        <w:t>. ledna a 22.-24. července 2013, předkládají členové BRC následující zprávu o otázce ordinace:</w:t>
      </w:r>
    </w:p>
    <w:p w:rsidR="00EA7767" w:rsidRPr="004E562E" w:rsidRDefault="00077857">
      <w:pPr>
        <w:pStyle w:val="Heading20"/>
        <w:framePr w:w="8328" w:h="12190" w:hRule="exact" w:wrap="around" w:vAnchor="page" w:hAnchor="page" w:x="1796" w:y="3166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272" w:line="210" w:lineRule="exact"/>
        <w:ind w:left="20"/>
        <w:jc w:val="left"/>
        <w:rPr>
          <w:lang w:val="cs-CZ"/>
        </w:rPr>
      </w:pPr>
      <w:r w:rsidRPr="004E562E">
        <w:rPr>
          <w:lang w:val="cs-CZ"/>
        </w:rPr>
        <w:t>Ordin</w:t>
      </w:r>
      <w:r w:rsidR="00C85BA7" w:rsidRPr="004E562E">
        <w:rPr>
          <w:lang w:val="cs-CZ"/>
        </w:rPr>
        <w:t>ace</w:t>
      </w:r>
      <w:r w:rsidRPr="004E562E">
        <w:rPr>
          <w:lang w:val="cs-CZ"/>
        </w:rPr>
        <w:t xml:space="preserve"> obecně</w:t>
      </w:r>
    </w:p>
    <w:p w:rsidR="00EA7767" w:rsidRPr="004E562E" w:rsidRDefault="00D66B8D">
      <w:pPr>
        <w:pStyle w:val="Zkladntext1"/>
        <w:framePr w:w="8328" w:h="12190" w:hRule="exact" w:wrap="around" w:vAnchor="page" w:hAnchor="page" w:x="1796" w:y="3166"/>
        <w:shd w:val="clear" w:color="auto" w:fill="auto"/>
        <w:spacing w:before="0" w:after="291"/>
        <w:ind w:left="20" w:right="20" w:firstLine="720"/>
        <w:rPr>
          <w:lang w:val="cs-CZ"/>
        </w:rPr>
      </w:pPr>
      <w:r w:rsidRPr="004E562E">
        <w:rPr>
          <w:lang w:val="cs-CZ"/>
        </w:rPr>
        <w:t>Ačkoliv se v Bibli setkáváme s konceptem odděl</w:t>
      </w:r>
      <w:r w:rsidR="002C50D2">
        <w:rPr>
          <w:lang w:val="cs-CZ"/>
        </w:rPr>
        <w:t>ová</w:t>
      </w:r>
      <w:r w:rsidRPr="004E562E">
        <w:rPr>
          <w:lang w:val="cs-CZ"/>
        </w:rPr>
        <w:t xml:space="preserve">ní pro službu, Bible nespecifikuje, co to vlastně ordinování </w:t>
      </w:r>
      <w:r w:rsidR="002C50D2">
        <w:rPr>
          <w:lang w:val="cs-CZ"/>
        </w:rPr>
        <w:t>do</w:t>
      </w:r>
      <w:r w:rsidRPr="004E562E">
        <w:rPr>
          <w:lang w:val="cs-CZ"/>
        </w:rPr>
        <w:t xml:space="preserve"> služb</w:t>
      </w:r>
      <w:r w:rsidR="002C50D2">
        <w:rPr>
          <w:lang w:val="cs-CZ"/>
        </w:rPr>
        <w:t>y</w:t>
      </w:r>
      <w:r w:rsidRPr="004E562E">
        <w:rPr>
          <w:lang w:val="cs-CZ"/>
        </w:rPr>
        <w:t xml:space="preserve"> je. Bible povolává všechny věřící, aby využívali své duchovní dary, nicméně také zjišťujeme, že v Bibli byly lidem svěřeny specifické odpovědnosti, úřady a funkce ve službě Bohu a k vedení církve, aby mohla uskutečnit své poslání. Tito lidé jsou v prvé řadě povoláni Bohem. Církev rozpoznává toto povolání na základě určitých biblických kritérií a potvrzuje </w:t>
      </w:r>
      <w:r w:rsidR="002C50D2">
        <w:rPr>
          <w:lang w:val="cs-CZ"/>
        </w:rPr>
        <w:t>ho</w:t>
      </w:r>
      <w:r w:rsidRPr="004E562E">
        <w:rPr>
          <w:lang w:val="cs-CZ"/>
        </w:rPr>
        <w:t xml:space="preserve"> při veřejném obřadu, který mimo jiné zahrnuje i vkládání rukou. Tato praxe není svátostným aktem, který propůjčuje Boží milost, nebo jiné zvláštní kvality ordinované osobě, ale je to zdůraznění vysoké duchovní hodnoty odpovědnosti a autority </w:t>
      </w:r>
      <w:r w:rsidR="00C85BA7" w:rsidRPr="004E562E">
        <w:rPr>
          <w:lang w:val="cs-CZ"/>
        </w:rPr>
        <w:t>k vykonávání</w:t>
      </w:r>
      <w:r w:rsidRPr="004E562E">
        <w:rPr>
          <w:lang w:val="cs-CZ"/>
        </w:rPr>
        <w:t xml:space="preserve"> určit</w:t>
      </w:r>
      <w:r w:rsidR="00C85BA7" w:rsidRPr="004E562E">
        <w:rPr>
          <w:lang w:val="cs-CZ"/>
        </w:rPr>
        <w:t>ých</w:t>
      </w:r>
      <w:r w:rsidRPr="004E562E">
        <w:rPr>
          <w:lang w:val="cs-CZ"/>
        </w:rPr>
        <w:t xml:space="preserve"> úkol</w:t>
      </w:r>
      <w:r w:rsidR="00C85BA7" w:rsidRPr="004E562E">
        <w:rPr>
          <w:lang w:val="cs-CZ"/>
        </w:rPr>
        <w:t>ů především</w:t>
      </w:r>
      <w:r w:rsidRPr="004E562E">
        <w:rPr>
          <w:lang w:val="cs-CZ"/>
        </w:rPr>
        <w:t xml:space="preserve"> ve službě pro církev. Tím ordinace přispívá k nastolení řádu v církvi. V</w:t>
      </w:r>
      <w:r w:rsidR="0041640D">
        <w:rPr>
          <w:lang w:val="cs-CZ"/>
        </w:rPr>
        <w:t>ysluhování</w:t>
      </w:r>
      <w:r w:rsidRPr="004E562E">
        <w:rPr>
          <w:lang w:val="cs-CZ"/>
        </w:rPr>
        <w:t xml:space="preserve"> křtu, večeře Páně a uzavírání manželství jsou pro církev mimořádně důležité, nejen proto, že tvoří svátost, ale spíš</w:t>
      </w:r>
      <w:r w:rsidR="00E01A74">
        <w:rPr>
          <w:lang w:val="cs-CZ"/>
        </w:rPr>
        <w:t>e</w:t>
      </w:r>
      <w:r w:rsidRPr="004E562E">
        <w:rPr>
          <w:lang w:val="cs-CZ"/>
        </w:rPr>
        <w:t xml:space="preserve"> proto, že </w:t>
      </w:r>
      <w:r w:rsidR="00C85BA7" w:rsidRPr="004E562E">
        <w:rPr>
          <w:lang w:val="cs-CZ"/>
        </w:rPr>
        <w:t xml:space="preserve">křest je slavnostním přijetím do </w:t>
      </w:r>
      <w:r w:rsidR="004E562E" w:rsidRPr="004E562E">
        <w:rPr>
          <w:lang w:val="cs-CZ"/>
        </w:rPr>
        <w:t>společenství</w:t>
      </w:r>
      <w:r w:rsidR="00C85BA7" w:rsidRPr="004E562E">
        <w:rPr>
          <w:lang w:val="cs-CZ"/>
        </w:rPr>
        <w:t xml:space="preserve"> věřících v církvi, večeře Páně je připomínkou toho, jak nám Ježíš zajistil spásu a manželství je Božím důležitým a původním plánem pro lidstvo. To může být dalším důvodem, proč </w:t>
      </w:r>
      <w:r w:rsidR="002C50D2">
        <w:rPr>
          <w:lang w:val="cs-CZ"/>
        </w:rPr>
        <w:t>C</w:t>
      </w:r>
      <w:r w:rsidR="00C85BA7" w:rsidRPr="004E562E">
        <w:rPr>
          <w:lang w:val="cs-CZ"/>
        </w:rPr>
        <w:t xml:space="preserve">írkevní řád omezil výkon těchto obřadů pouze na ordinované kazatele. </w:t>
      </w:r>
    </w:p>
    <w:p w:rsidR="00EA7767" w:rsidRPr="004E562E" w:rsidRDefault="00E05DCC">
      <w:pPr>
        <w:pStyle w:val="Heading20"/>
        <w:framePr w:w="8328" w:h="12190" w:hRule="exact" w:wrap="around" w:vAnchor="page" w:hAnchor="page" w:x="1796" w:y="3166"/>
        <w:numPr>
          <w:ilvl w:val="0"/>
          <w:numId w:val="1"/>
        </w:numPr>
        <w:shd w:val="clear" w:color="auto" w:fill="auto"/>
        <w:tabs>
          <w:tab w:val="left" w:pos="265"/>
        </w:tabs>
        <w:spacing w:before="0" w:after="318" w:line="210" w:lineRule="exact"/>
        <w:ind w:left="20"/>
        <w:jc w:val="left"/>
        <w:rPr>
          <w:lang w:val="cs-CZ"/>
        </w:rPr>
      </w:pPr>
      <w:bookmarkStart w:id="2" w:name="bookmark3"/>
      <w:r w:rsidRPr="004E562E">
        <w:rPr>
          <w:lang w:val="cs-CZ"/>
        </w:rPr>
        <w:t>Ordina</w:t>
      </w:r>
      <w:r w:rsidR="00C85BA7" w:rsidRPr="004E562E">
        <w:rPr>
          <w:lang w:val="cs-CZ"/>
        </w:rPr>
        <w:t>ce žen</w:t>
      </w:r>
      <w:bookmarkEnd w:id="2"/>
    </w:p>
    <w:p w:rsidR="00EA7767" w:rsidRPr="004E562E" w:rsidRDefault="00E05DCC">
      <w:pPr>
        <w:pStyle w:val="Heading20"/>
        <w:framePr w:w="8328" w:h="12190" w:hRule="exact" w:wrap="around" w:vAnchor="page" w:hAnchor="page" w:x="1796" w:y="3166"/>
        <w:shd w:val="clear" w:color="auto" w:fill="auto"/>
        <w:spacing w:before="0" w:after="272" w:line="210" w:lineRule="exact"/>
        <w:ind w:left="20"/>
        <w:jc w:val="left"/>
        <w:rPr>
          <w:lang w:val="cs-CZ"/>
        </w:rPr>
      </w:pPr>
      <w:bookmarkStart w:id="3" w:name="bookmark4"/>
      <w:r w:rsidRPr="004E562E">
        <w:rPr>
          <w:lang w:val="cs-CZ"/>
        </w:rPr>
        <w:t xml:space="preserve">2.1. </w:t>
      </w:r>
      <w:r w:rsidR="00C85BA7" w:rsidRPr="004E562E">
        <w:rPr>
          <w:lang w:val="cs-CZ"/>
        </w:rPr>
        <w:t>Bible a ordinace žen</w:t>
      </w:r>
      <w:bookmarkEnd w:id="3"/>
    </w:p>
    <w:p w:rsidR="00EA7767" w:rsidRPr="004E562E" w:rsidRDefault="00C85BA7">
      <w:pPr>
        <w:pStyle w:val="Zkladntext1"/>
        <w:framePr w:w="8328" w:h="12190" w:hRule="exact" w:wrap="around" w:vAnchor="page" w:hAnchor="page" w:x="1796" w:y="3166"/>
        <w:shd w:val="clear" w:color="auto" w:fill="auto"/>
        <w:spacing w:before="0" w:after="0"/>
        <w:ind w:left="20" w:right="20" w:firstLine="720"/>
        <w:rPr>
          <w:lang w:val="cs-CZ"/>
        </w:rPr>
      </w:pPr>
      <w:r w:rsidRPr="004E562E">
        <w:rPr>
          <w:lang w:val="cs-CZ"/>
        </w:rPr>
        <w:t>Jelikož většina textů, které byly zkoumány v procesu snahy o pochopení ordinace</w:t>
      </w:r>
      <w:r w:rsidR="004E562E">
        <w:rPr>
          <w:lang w:val="cs-CZ"/>
        </w:rPr>
        <w:t>,</w:t>
      </w:r>
      <w:r w:rsidRPr="004E562E">
        <w:rPr>
          <w:lang w:val="cs-CZ"/>
        </w:rPr>
        <w:t xml:space="preserve"> ne</w:t>
      </w:r>
      <w:r w:rsidR="004E562E">
        <w:rPr>
          <w:lang w:val="cs-CZ"/>
        </w:rPr>
        <w:t>ní</w:t>
      </w:r>
      <w:r w:rsidRPr="004E562E">
        <w:rPr>
          <w:lang w:val="cs-CZ"/>
        </w:rPr>
        <w:t xml:space="preserve"> přímo zaměřen</w:t>
      </w:r>
      <w:r w:rsidR="004E562E">
        <w:rPr>
          <w:lang w:val="cs-CZ"/>
        </w:rPr>
        <w:t>a</w:t>
      </w:r>
      <w:r w:rsidRPr="004E562E">
        <w:rPr>
          <w:lang w:val="cs-CZ"/>
        </w:rPr>
        <w:t xml:space="preserve"> na téma samotné, je problematické je používat jako argument ve prospěch nebo v neprospěch ordinace žen. </w:t>
      </w:r>
      <w:r w:rsidR="00C4711F" w:rsidRPr="004E562E">
        <w:rPr>
          <w:lang w:val="cs-CZ"/>
        </w:rPr>
        <w:t xml:space="preserve">Je zde trvalé nebezpečí, že z textu vyčteme něco, co v něm není. </w:t>
      </w:r>
    </w:p>
    <w:p w:rsidR="00EA7767" w:rsidRPr="004E562E" w:rsidRDefault="00C4711F">
      <w:pPr>
        <w:pStyle w:val="Zkladntext1"/>
        <w:framePr w:w="8328" w:h="12190" w:hRule="exact" w:wrap="around" w:vAnchor="page" w:hAnchor="page" w:x="1796" w:y="3166"/>
        <w:shd w:val="clear" w:color="auto" w:fill="auto"/>
        <w:spacing w:before="0" w:after="0"/>
        <w:ind w:left="20" w:right="20" w:firstLine="720"/>
        <w:rPr>
          <w:lang w:val="cs-CZ"/>
        </w:rPr>
      </w:pPr>
      <w:r w:rsidRPr="004E562E">
        <w:rPr>
          <w:lang w:val="cs-CZ"/>
        </w:rPr>
        <w:t>Z toho důvodu js</w:t>
      </w:r>
      <w:r w:rsidR="004E562E">
        <w:rPr>
          <w:lang w:val="cs-CZ"/>
        </w:rPr>
        <w:t>me</w:t>
      </w:r>
      <w:r w:rsidRPr="004E562E">
        <w:rPr>
          <w:lang w:val="cs-CZ"/>
        </w:rPr>
        <w:t xml:space="preserve"> velmi podrobně hledali odpovědi na následující otázky o ordinaci žen:  </w:t>
      </w:r>
    </w:p>
    <w:p w:rsidR="00EA7767" w:rsidRPr="004E562E" w:rsidRDefault="00C4711F">
      <w:pPr>
        <w:pStyle w:val="Zkladntext1"/>
        <w:framePr w:w="8328" w:h="12190" w:hRule="exact" w:wrap="around" w:vAnchor="page" w:hAnchor="page" w:x="1796" w:y="3166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/>
        <w:ind w:left="740"/>
        <w:jc w:val="left"/>
        <w:rPr>
          <w:lang w:val="cs-CZ"/>
        </w:rPr>
      </w:pPr>
      <w:r w:rsidRPr="004E562E">
        <w:rPr>
          <w:lang w:val="cs-CZ"/>
        </w:rPr>
        <w:t xml:space="preserve">Jaké úřady v Bibli vyžadují pověření církví a které vyžadují ordinaci? </w:t>
      </w:r>
    </w:p>
    <w:p w:rsidR="00EA7767" w:rsidRPr="004E562E" w:rsidRDefault="00E01A74">
      <w:pPr>
        <w:pStyle w:val="Zkladntext1"/>
        <w:framePr w:w="8328" w:h="12190" w:hRule="exact" w:wrap="around" w:vAnchor="page" w:hAnchor="page" w:x="1796" w:y="3166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/>
        <w:ind w:left="740" w:right="20"/>
        <w:jc w:val="left"/>
        <w:rPr>
          <w:lang w:val="cs-CZ"/>
        </w:rPr>
      </w:pPr>
      <w:r>
        <w:rPr>
          <w:lang w:val="cs-CZ"/>
        </w:rPr>
        <w:t>Existují</w:t>
      </w:r>
      <w:r w:rsidR="00C4711F" w:rsidRPr="004E562E">
        <w:rPr>
          <w:lang w:val="cs-CZ"/>
        </w:rPr>
        <w:t xml:space="preserve"> nové služebnosti, které by měly být vytvořeny, nebo už byly vytvořeny mimo </w:t>
      </w:r>
      <w:proofErr w:type="spellStart"/>
      <w:r w:rsidR="00C4711F" w:rsidRPr="004E562E">
        <w:rPr>
          <w:lang w:val="cs-CZ"/>
        </w:rPr>
        <w:t>diakonů</w:t>
      </w:r>
      <w:proofErr w:type="spellEnd"/>
      <w:r w:rsidR="00C4711F" w:rsidRPr="004E562E">
        <w:rPr>
          <w:lang w:val="cs-CZ"/>
        </w:rPr>
        <w:t>, starších a kazatelů, kde je požadována ordinace?</w:t>
      </w:r>
    </w:p>
    <w:p w:rsidR="00EA7767" w:rsidRPr="004E562E" w:rsidRDefault="00C4711F">
      <w:pPr>
        <w:pStyle w:val="Zkladntext1"/>
        <w:framePr w:w="8328" w:h="12190" w:hRule="exact" w:wrap="around" w:vAnchor="page" w:hAnchor="page" w:x="1796" w:y="3166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/>
        <w:ind w:left="740" w:right="20"/>
        <w:jc w:val="left"/>
        <w:rPr>
          <w:lang w:val="cs-CZ"/>
        </w:rPr>
      </w:pPr>
      <w:r w:rsidRPr="004E562E">
        <w:rPr>
          <w:lang w:val="cs-CZ"/>
        </w:rPr>
        <w:t xml:space="preserve">Jak máme správně použít princip vedení (hlavy) v církvi? Je-li Kristus hlavou církve, čí hlavou jsou muži? </w:t>
      </w:r>
    </w:p>
    <w:p w:rsidR="00EA7767" w:rsidRPr="004E562E" w:rsidRDefault="00C4711F">
      <w:pPr>
        <w:pStyle w:val="Zkladntext1"/>
        <w:framePr w:w="8328" w:h="12190" w:hRule="exact" w:wrap="around" w:vAnchor="page" w:hAnchor="page" w:x="1796" w:y="3166"/>
        <w:numPr>
          <w:ilvl w:val="0"/>
          <w:numId w:val="2"/>
        </w:numPr>
        <w:shd w:val="clear" w:color="auto" w:fill="auto"/>
        <w:tabs>
          <w:tab w:val="left" w:pos="735"/>
        </w:tabs>
        <w:spacing w:before="0" w:after="0"/>
        <w:ind w:left="740" w:right="20"/>
        <w:jc w:val="left"/>
        <w:rPr>
          <w:lang w:val="cs-CZ"/>
        </w:rPr>
      </w:pPr>
      <w:r w:rsidRPr="004E562E">
        <w:rPr>
          <w:lang w:val="cs-CZ"/>
        </w:rPr>
        <w:t xml:space="preserve">Je důsledné ordinovat ženy jako starší sboru, ale ne jako kazatelky? </w:t>
      </w:r>
      <w:r w:rsidR="00352E87" w:rsidRPr="004E562E">
        <w:rPr>
          <w:lang w:val="cs-CZ"/>
        </w:rPr>
        <w:t xml:space="preserve">Jaká jsou kritéria pro vymezení </w:t>
      </w:r>
      <w:r w:rsidR="004E562E" w:rsidRPr="004E562E">
        <w:rPr>
          <w:lang w:val="cs-CZ"/>
        </w:rPr>
        <w:t>dělicí</w:t>
      </w:r>
      <w:r w:rsidR="00352E87" w:rsidRPr="004E562E">
        <w:rPr>
          <w:lang w:val="cs-CZ"/>
        </w:rPr>
        <w:t xml:space="preserve"> čáry ve vedení? </w:t>
      </w:r>
    </w:p>
    <w:p w:rsidR="00EA7767" w:rsidRPr="004E562E" w:rsidRDefault="00352E87">
      <w:pPr>
        <w:pStyle w:val="Zkladntext1"/>
        <w:framePr w:w="8328" w:h="12190" w:hRule="exact" w:wrap="around" w:vAnchor="page" w:hAnchor="page" w:x="1796" w:y="3166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/>
        <w:ind w:left="740" w:right="20"/>
        <w:jc w:val="left"/>
        <w:rPr>
          <w:lang w:val="cs-CZ"/>
        </w:rPr>
      </w:pPr>
      <w:r w:rsidRPr="004E562E">
        <w:rPr>
          <w:lang w:val="cs-CZ"/>
        </w:rPr>
        <w:t xml:space="preserve">Jaký je vztah mezi starozákonním kněžstvím, prorockou službou a kazatelskou prací? </w:t>
      </w:r>
    </w:p>
    <w:p w:rsidR="00EA7767" w:rsidRPr="004E562E" w:rsidRDefault="00E05DCC">
      <w:pPr>
        <w:pStyle w:val="Headerorfooter0"/>
        <w:framePr w:wrap="around" w:vAnchor="page" w:hAnchor="page" w:x="5895" w:y="15868"/>
        <w:shd w:val="clear" w:color="auto" w:fill="auto"/>
        <w:spacing w:line="170" w:lineRule="exact"/>
        <w:jc w:val="both"/>
        <w:rPr>
          <w:lang w:val="cs-CZ"/>
        </w:rPr>
      </w:pPr>
      <w:r w:rsidRPr="004E562E">
        <w:rPr>
          <w:rStyle w:val="Headerorfooter9pt"/>
          <w:lang w:val="cs-CZ"/>
        </w:rPr>
        <w:t>1</w:t>
      </w:r>
    </w:p>
    <w:p w:rsidR="00EA7767" w:rsidRPr="004E562E" w:rsidRDefault="00EA7767">
      <w:pPr>
        <w:rPr>
          <w:sz w:val="2"/>
          <w:szCs w:val="2"/>
          <w:lang w:val="cs-CZ"/>
        </w:rPr>
        <w:sectPr w:rsidR="00EA7767" w:rsidRPr="004E562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A7767" w:rsidRPr="004E562E" w:rsidRDefault="00352E87">
      <w:pPr>
        <w:pStyle w:val="Zkladntext1"/>
        <w:framePr w:w="8328" w:h="13848" w:hRule="exact" w:wrap="around" w:vAnchor="page" w:hAnchor="page" w:x="1796" w:y="1419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740" w:right="20"/>
        <w:rPr>
          <w:lang w:val="cs-CZ"/>
        </w:rPr>
      </w:pPr>
      <w:r w:rsidRPr="004E562E">
        <w:rPr>
          <w:lang w:val="cs-CZ"/>
        </w:rPr>
        <w:lastRenderedPageBreak/>
        <w:t xml:space="preserve">Jestliže uznáváme ženy ve vedoucích pozicích, </w:t>
      </w:r>
      <w:r w:rsidR="004E562E">
        <w:rPr>
          <w:lang w:val="cs-CZ"/>
        </w:rPr>
        <w:t>z jakého důvodu</w:t>
      </w:r>
      <w:r w:rsidRPr="004E562E">
        <w:rPr>
          <w:lang w:val="cs-CZ"/>
        </w:rPr>
        <w:t xml:space="preserve"> odmítáme jejich vedení v kazatelské službě? </w:t>
      </w:r>
    </w:p>
    <w:p w:rsidR="00EA7767" w:rsidRPr="004E562E" w:rsidRDefault="00352E87">
      <w:pPr>
        <w:pStyle w:val="Zkladntext1"/>
        <w:framePr w:w="8328" w:h="13848" w:hRule="exact" w:wrap="around" w:vAnchor="page" w:hAnchor="page" w:x="1796" w:y="1419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/>
        <w:ind w:left="740" w:right="20"/>
        <w:rPr>
          <w:lang w:val="cs-CZ"/>
        </w:rPr>
      </w:pPr>
      <w:r w:rsidRPr="004E562E">
        <w:rPr>
          <w:lang w:val="cs-CZ"/>
        </w:rPr>
        <w:t xml:space="preserve">Proč vyžadujeme ordinaci </w:t>
      </w:r>
      <w:r w:rsidR="002C50D2">
        <w:rPr>
          <w:lang w:val="cs-CZ"/>
        </w:rPr>
        <w:t>k</w:t>
      </w:r>
      <w:r w:rsidRPr="004E562E">
        <w:rPr>
          <w:lang w:val="cs-CZ"/>
        </w:rPr>
        <w:t xml:space="preserve"> vysluhování křtu, večeře Páně a manželství? </w:t>
      </w:r>
    </w:p>
    <w:p w:rsidR="00EA7767" w:rsidRPr="004E562E" w:rsidRDefault="00352E87">
      <w:pPr>
        <w:pStyle w:val="Zkladntext1"/>
        <w:framePr w:w="8328" w:h="13848" w:hRule="exact" w:wrap="around" w:vAnchor="page" w:hAnchor="page" w:x="1796" w:y="1419"/>
        <w:numPr>
          <w:ilvl w:val="0"/>
          <w:numId w:val="2"/>
        </w:numPr>
        <w:shd w:val="clear" w:color="auto" w:fill="auto"/>
        <w:tabs>
          <w:tab w:val="left" w:pos="750"/>
        </w:tabs>
        <w:spacing w:before="0" w:after="0"/>
        <w:ind w:left="740" w:right="20"/>
        <w:rPr>
          <w:lang w:val="cs-CZ"/>
        </w:rPr>
      </w:pPr>
      <w:r w:rsidRPr="004E562E">
        <w:rPr>
          <w:lang w:val="cs-CZ"/>
        </w:rPr>
        <w:t>Měly by ženy mlčet vždy a všude? Pokud ne, na jakém biblickém základu označíme jejich učení za jiné, než to, které učí muži?</w:t>
      </w:r>
    </w:p>
    <w:p w:rsidR="00EA7767" w:rsidRPr="004E562E" w:rsidRDefault="00352E87">
      <w:pPr>
        <w:pStyle w:val="Zkladntext1"/>
        <w:framePr w:w="8328" w:h="13848" w:hRule="exact" w:wrap="around" w:vAnchor="page" w:hAnchor="page" w:x="1796" w:y="1419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0"/>
        <w:ind w:left="740" w:right="20"/>
        <w:rPr>
          <w:lang w:val="cs-CZ"/>
        </w:rPr>
      </w:pPr>
      <w:r w:rsidRPr="004E562E">
        <w:rPr>
          <w:lang w:val="cs-CZ"/>
        </w:rPr>
        <w:t>Jaký je vztah mezi duchovním darem a služebností? Může někdo obdržet duchovní dar a nemít právo vykonávat služebnost, ke které ho jeho/její dar uschopňuje?</w:t>
      </w:r>
    </w:p>
    <w:p w:rsidR="00EA7767" w:rsidRPr="004E562E" w:rsidRDefault="00352E87">
      <w:pPr>
        <w:pStyle w:val="Zkladntext1"/>
        <w:framePr w:w="8328" w:h="13848" w:hRule="exact" w:wrap="around" w:vAnchor="page" w:hAnchor="page" w:x="1796" w:y="1419"/>
        <w:numPr>
          <w:ilvl w:val="0"/>
          <w:numId w:val="2"/>
        </w:numPr>
        <w:shd w:val="clear" w:color="auto" w:fill="auto"/>
        <w:tabs>
          <w:tab w:val="left" w:pos="730"/>
        </w:tabs>
        <w:spacing w:before="0" w:after="291"/>
        <w:ind w:left="740" w:right="20"/>
        <w:rPr>
          <w:lang w:val="cs-CZ"/>
        </w:rPr>
      </w:pPr>
      <w:r w:rsidRPr="004E562E">
        <w:rPr>
          <w:lang w:val="cs-CZ"/>
        </w:rPr>
        <w:t>Jaké biblické opodstatnění máme pro rozlišování oficiálního a neoficiálního učení?</w:t>
      </w:r>
    </w:p>
    <w:p w:rsidR="00EA7767" w:rsidRPr="004E562E" w:rsidRDefault="00E05DCC">
      <w:pPr>
        <w:pStyle w:val="Heading20"/>
        <w:framePr w:w="8328" w:h="13848" w:hRule="exact" w:wrap="around" w:vAnchor="page" w:hAnchor="page" w:x="1796" w:y="1419"/>
        <w:numPr>
          <w:ilvl w:val="0"/>
          <w:numId w:val="3"/>
        </w:numPr>
        <w:shd w:val="clear" w:color="auto" w:fill="auto"/>
        <w:tabs>
          <w:tab w:val="left" w:pos="385"/>
        </w:tabs>
        <w:spacing w:before="0" w:after="272" w:line="210" w:lineRule="exact"/>
        <w:ind w:left="20"/>
        <w:jc w:val="both"/>
        <w:rPr>
          <w:lang w:val="cs-CZ"/>
        </w:rPr>
      </w:pPr>
      <w:bookmarkStart w:id="4" w:name="bookmark5"/>
      <w:r w:rsidRPr="004E562E">
        <w:rPr>
          <w:lang w:val="cs-CZ"/>
        </w:rPr>
        <w:t>Ordina</w:t>
      </w:r>
      <w:r w:rsidR="00352E87" w:rsidRPr="004E562E">
        <w:rPr>
          <w:lang w:val="cs-CZ"/>
        </w:rPr>
        <w:t xml:space="preserve">ce žen v Církvi adventistů sedmého dne </w:t>
      </w:r>
      <w:bookmarkEnd w:id="4"/>
    </w:p>
    <w:p w:rsidR="00EA7767" w:rsidRPr="004E562E" w:rsidRDefault="00352E87">
      <w:pPr>
        <w:pStyle w:val="Zkladntext1"/>
        <w:framePr w:w="8328" w:h="13848" w:hRule="exact" w:wrap="around" w:vAnchor="page" w:hAnchor="page" w:x="1796" w:y="1419"/>
        <w:shd w:val="clear" w:color="auto" w:fill="auto"/>
        <w:spacing w:before="0" w:after="291"/>
        <w:ind w:left="20" w:right="20" w:firstLine="720"/>
        <w:rPr>
          <w:lang w:val="cs-CZ"/>
        </w:rPr>
      </w:pPr>
      <w:r w:rsidRPr="004E562E">
        <w:rPr>
          <w:lang w:val="cs-CZ"/>
        </w:rPr>
        <w:t xml:space="preserve">Doposud se Církev adventistů sedmého dne rozhodla pro ordinaci </w:t>
      </w:r>
      <w:proofErr w:type="spellStart"/>
      <w:r w:rsidRPr="004E562E">
        <w:rPr>
          <w:lang w:val="cs-CZ"/>
        </w:rPr>
        <w:t>diakonů</w:t>
      </w:r>
      <w:proofErr w:type="spellEnd"/>
      <w:r w:rsidRPr="004E562E">
        <w:rPr>
          <w:lang w:val="cs-CZ"/>
        </w:rPr>
        <w:t>, diakone</w:t>
      </w:r>
      <w:r w:rsidR="004E562E">
        <w:rPr>
          <w:lang w:val="cs-CZ"/>
        </w:rPr>
        <w:t>k</w:t>
      </w:r>
      <w:r w:rsidRPr="004E562E">
        <w:rPr>
          <w:lang w:val="cs-CZ"/>
        </w:rPr>
        <w:t xml:space="preserve">, starších (mužů i žen) a kazatelů (mužů). Historicky vzato </w:t>
      </w:r>
      <w:r w:rsidR="00E01A74" w:rsidRPr="004E562E">
        <w:rPr>
          <w:lang w:val="cs-CZ"/>
        </w:rPr>
        <w:t xml:space="preserve">naše církev </w:t>
      </w:r>
      <w:r w:rsidRPr="004E562E">
        <w:rPr>
          <w:lang w:val="cs-CZ"/>
        </w:rPr>
        <w:t>nechápala biblické texty jako zákaz pro ženy mluvit, kázat a učit na veřejnosti. Odpovědnosti ordinovaného kazatele byly církví definovány</w:t>
      </w:r>
      <w:r w:rsidR="00D8210D" w:rsidRPr="004E562E">
        <w:rPr>
          <w:lang w:val="cs-CZ"/>
        </w:rPr>
        <w:t xml:space="preserve"> a založeny na praktických potřebách a nikoli výhradně na biblických příkladech. </w:t>
      </w:r>
      <w:r w:rsidR="004E562E">
        <w:rPr>
          <w:lang w:val="cs-CZ"/>
        </w:rPr>
        <w:t xml:space="preserve">Vyvstává nám </w:t>
      </w:r>
      <w:r w:rsidR="002C50D2">
        <w:rPr>
          <w:lang w:val="cs-CZ"/>
        </w:rPr>
        <w:t xml:space="preserve">však </w:t>
      </w:r>
      <w:r w:rsidR="004E562E">
        <w:rPr>
          <w:lang w:val="cs-CZ"/>
        </w:rPr>
        <w:t xml:space="preserve">otázka, </w:t>
      </w:r>
      <w:r w:rsidR="00D8210D" w:rsidRPr="004E562E">
        <w:rPr>
          <w:lang w:val="cs-CZ"/>
        </w:rPr>
        <w:t xml:space="preserve">zda se má církev </w:t>
      </w:r>
      <w:r w:rsidR="004E562E">
        <w:rPr>
          <w:lang w:val="cs-CZ"/>
        </w:rPr>
        <w:t>p</w:t>
      </w:r>
      <w:r w:rsidR="00D8210D" w:rsidRPr="004E562E">
        <w:rPr>
          <w:lang w:val="cs-CZ"/>
        </w:rPr>
        <w:t xml:space="preserve">ři ordinaci žen pro kazatelskou službu </w:t>
      </w:r>
      <w:r w:rsidR="004E562E">
        <w:rPr>
          <w:lang w:val="cs-CZ"/>
        </w:rPr>
        <w:t xml:space="preserve">vydat </w:t>
      </w:r>
      <w:r w:rsidR="00D8210D" w:rsidRPr="004E562E">
        <w:rPr>
          <w:lang w:val="cs-CZ"/>
        </w:rPr>
        <w:t>za hranice současného stavu.</w:t>
      </w:r>
    </w:p>
    <w:p w:rsidR="00EA7767" w:rsidRPr="004E562E" w:rsidRDefault="00D8210D">
      <w:pPr>
        <w:pStyle w:val="Heading20"/>
        <w:framePr w:w="8328" w:h="13848" w:hRule="exact" w:wrap="around" w:vAnchor="page" w:hAnchor="page" w:x="1796" w:y="1419"/>
        <w:numPr>
          <w:ilvl w:val="0"/>
          <w:numId w:val="3"/>
        </w:numPr>
        <w:shd w:val="clear" w:color="auto" w:fill="auto"/>
        <w:tabs>
          <w:tab w:val="left" w:pos="380"/>
        </w:tabs>
        <w:spacing w:before="0" w:after="318" w:line="210" w:lineRule="exact"/>
        <w:ind w:left="20"/>
        <w:jc w:val="both"/>
        <w:rPr>
          <w:lang w:val="cs-CZ"/>
        </w:rPr>
      </w:pPr>
      <w:bookmarkStart w:id="5" w:name="bookmark6"/>
      <w:r w:rsidRPr="004E562E">
        <w:rPr>
          <w:lang w:val="cs-CZ"/>
        </w:rPr>
        <w:t xml:space="preserve">Shoda pohledů výboru </w:t>
      </w:r>
      <w:r w:rsidR="00E05DCC" w:rsidRPr="004E562E">
        <w:rPr>
          <w:lang w:val="cs-CZ"/>
        </w:rPr>
        <w:t xml:space="preserve">BRC-EUD </w:t>
      </w:r>
      <w:bookmarkEnd w:id="5"/>
      <w:r w:rsidRPr="004E562E">
        <w:rPr>
          <w:lang w:val="cs-CZ"/>
        </w:rPr>
        <w:t>na ordinaci žen</w:t>
      </w:r>
    </w:p>
    <w:p w:rsidR="00EA7767" w:rsidRPr="004E562E" w:rsidRDefault="00D8210D">
      <w:pPr>
        <w:pStyle w:val="Bodytext20"/>
        <w:framePr w:w="8328" w:h="13848" w:hRule="exact" w:wrap="around" w:vAnchor="page" w:hAnchor="page" w:x="1796" w:y="1419"/>
        <w:numPr>
          <w:ilvl w:val="0"/>
          <w:numId w:val="4"/>
        </w:numPr>
        <w:shd w:val="clear" w:color="auto" w:fill="auto"/>
        <w:tabs>
          <w:tab w:val="left" w:pos="634"/>
        </w:tabs>
        <w:spacing w:before="0" w:after="224" w:line="210" w:lineRule="exact"/>
        <w:ind w:left="20"/>
        <w:rPr>
          <w:lang w:val="cs-CZ"/>
        </w:rPr>
      </w:pPr>
      <w:r w:rsidRPr="004E562E">
        <w:rPr>
          <w:lang w:val="cs-CZ"/>
        </w:rPr>
        <w:t>Bible a přímé odkazy ohledně ordinace žen</w:t>
      </w:r>
    </w:p>
    <w:p w:rsidR="00EA7767" w:rsidRPr="004E562E" w:rsidRDefault="00D8210D">
      <w:pPr>
        <w:pStyle w:val="Zkladntext1"/>
        <w:framePr w:w="8328" w:h="13848" w:hRule="exact" w:wrap="around" w:vAnchor="page" w:hAnchor="page" w:x="1796" w:y="1419"/>
        <w:shd w:val="clear" w:color="auto" w:fill="auto"/>
        <w:spacing w:before="0"/>
        <w:ind w:left="20" w:right="20" w:firstLine="720"/>
        <w:rPr>
          <w:lang w:val="cs-CZ"/>
        </w:rPr>
      </w:pPr>
      <w:r w:rsidRPr="004E562E">
        <w:rPr>
          <w:lang w:val="cs-CZ"/>
        </w:rPr>
        <w:t xml:space="preserve">V Bibli nenacházíme přímá </w:t>
      </w:r>
      <w:r w:rsidR="004E562E" w:rsidRPr="004E562E">
        <w:rPr>
          <w:lang w:val="cs-CZ"/>
        </w:rPr>
        <w:t>vyjádření</w:t>
      </w:r>
      <w:r w:rsidRPr="004E562E">
        <w:rPr>
          <w:lang w:val="cs-CZ"/>
        </w:rPr>
        <w:t>, která by přikazovala nebo zakazovala ordinaci žen. K objasnění otázky významu a účelu samotné ordinace se musí badatelé zaobírat texty, které mohou mít s ordinací nepřímý vztah, jako jsou texty o tématech role žen ve službě církve, princip vedení atd.</w:t>
      </w:r>
    </w:p>
    <w:p w:rsidR="00EA7767" w:rsidRPr="004E562E" w:rsidRDefault="000865BD">
      <w:pPr>
        <w:pStyle w:val="Bodytext20"/>
        <w:framePr w:w="8328" w:h="13848" w:hRule="exact" w:wrap="around" w:vAnchor="page" w:hAnchor="page" w:x="1796" w:y="1419"/>
        <w:numPr>
          <w:ilvl w:val="0"/>
          <w:numId w:val="4"/>
        </w:numPr>
        <w:shd w:val="clear" w:color="auto" w:fill="auto"/>
        <w:tabs>
          <w:tab w:val="left" w:pos="678"/>
        </w:tabs>
        <w:spacing w:before="0" w:line="274" w:lineRule="exact"/>
        <w:ind w:left="20" w:right="20"/>
        <w:rPr>
          <w:lang w:val="cs-CZ"/>
        </w:rPr>
      </w:pPr>
      <w:r w:rsidRPr="004E562E">
        <w:rPr>
          <w:lang w:val="cs-CZ"/>
        </w:rPr>
        <w:t>Vyhodnocení biblických argumentů pojednávajících o tématu ordinace žen do kazatelské služby</w:t>
      </w:r>
    </w:p>
    <w:p w:rsidR="00EA7767" w:rsidRPr="004E562E" w:rsidRDefault="000865BD">
      <w:pPr>
        <w:pStyle w:val="Zkladntext1"/>
        <w:framePr w:w="8328" w:h="13848" w:hRule="exact" w:wrap="around" w:vAnchor="page" w:hAnchor="page" w:x="1796" w:y="1419"/>
        <w:shd w:val="clear" w:color="auto" w:fill="auto"/>
        <w:spacing w:before="0" w:after="0"/>
        <w:ind w:left="20" w:right="20" w:firstLine="720"/>
        <w:rPr>
          <w:lang w:val="cs-CZ"/>
        </w:rPr>
      </w:pPr>
      <w:r w:rsidRPr="004E562E">
        <w:rPr>
          <w:lang w:val="cs-CZ"/>
        </w:rPr>
        <w:t xml:space="preserve">Zpráva o stvoření z </w:t>
      </w:r>
      <w:proofErr w:type="spellStart"/>
      <w:r w:rsidRPr="004E562E">
        <w:rPr>
          <w:lang w:val="cs-CZ"/>
        </w:rPr>
        <w:t>Gn</w:t>
      </w:r>
      <w:proofErr w:type="spellEnd"/>
      <w:r w:rsidRPr="004E562E">
        <w:rPr>
          <w:lang w:val="cs-CZ"/>
        </w:rPr>
        <w:t xml:space="preserve"> 1-2 potvrzuje rovnost mezi mužem a ženou. Oba muž i žena mají stejnou hodnotu, důstojnost a odpovědnosti jako správci Božího stvoření. Souhlasíme, že v manželském vztahu po pádu do hříchu vyzývá Bible oba k podřízení se – ženu k podřízení se muži a jejího muže k laskavému a obětavému přístupu</w:t>
      </w:r>
      <w:r w:rsidR="002C50D2">
        <w:rPr>
          <w:lang w:val="cs-CZ"/>
        </w:rPr>
        <w:t>,</w:t>
      </w:r>
      <w:r w:rsidRPr="004E562E">
        <w:rPr>
          <w:lang w:val="cs-CZ"/>
        </w:rPr>
        <w:t xml:space="preserve"> jak</w:t>
      </w:r>
      <w:r w:rsidR="002C50D2">
        <w:rPr>
          <w:lang w:val="cs-CZ"/>
        </w:rPr>
        <w:t>o</w:t>
      </w:r>
      <w:r w:rsidRPr="004E562E">
        <w:rPr>
          <w:lang w:val="cs-CZ"/>
        </w:rPr>
        <w:t xml:space="preserve"> se Kristus obětoval pro církev. Stejně tak nás však Písmo vede k tomu, abychom se vrátili k počátku Božího stvoření, k ideálu rovného partnerství.</w:t>
      </w:r>
    </w:p>
    <w:p w:rsidR="00EA7767" w:rsidRPr="004E562E" w:rsidRDefault="002C50D2">
      <w:pPr>
        <w:pStyle w:val="Zkladntext1"/>
        <w:framePr w:w="8328" w:h="13848" w:hRule="exact" w:wrap="around" w:vAnchor="page" w:hAnchor="page" w:x="1796" w:y="1419"/>
        <w:shd w:val="clear" w:color="auto" w:fill="auto"/>
        <w:spacing w:before="0" w:after="0"/>
        <w:ind w:left="20" w:right="20" w:firstLine="720"/>
        <w:rPr>
          <w:lang w:val="cs-CZ"/>
        </w:rPr>
      </w:pPr>
      <w:r>
        <w:rPr>
          <w:lang w:val="cs-CZ"/>
        </w:rPr>
        <w:t>Jeví</w:t>
      </w:r>
      <w:r w:rsidR="000865BD" w:rsidRPr="004E562E">
        <w:rPr>
          <w:lang w:val="cs-CZ"/>
        </w:rPr>
        <w:t xml:space="preserve"> se nám, že nemáme jasné biblické principy, které by nás vedly nebo </w:t>
      </w:r>
      <w:r w:rsidR="00E01A74">
        <w:rPr>
          <w:lang w:val="cs-CZ"/>
        </w:rPr>
        <w:t xml:space="preserve">přímo </w:t>
      </w:r>
      <w:r w:rsidR="000865BD" w:rsidRPr="004E562E">
        <w:rPr>
          <w:lang w:val="cs-CZ"/>
        </w:rPr>
        <w:t xml:space="preserve">vyžadovaly, abychom aplikovali </w:t>
      </w:r>
      <w:r w:rsidRPr="004E562E">
        <w:rPr>
          <w:lang w:val="cs-CZ"/>
        </w:rPr>
        <w:t xml:space="preserve">na církev </w:t>
      </w:r>
      <w:r w:rsidR="000865BD" w:rsidRPr="004E562E">
        <w:rPr>
          <w:lang w:val="cs-CZ"/>
        </w:rPr>
        <w:t>princip vedení z rodiny</w:t>
      </w:r>
      <w:r>
        <w:rPr>
          <w:lang w:val="cs-CZ"/>
        </w:rPr>
        <w:t>.</w:t>
      </w:r>
    </w:p>
    <w:p w:rsidR="00EA7767" w:rsidRPr="004E562E" w:rsidRDefault="000865BD">
      <w:pPr>
        <w:pStyle w:val="Zkladntext1"/>
        <w:framePr w:w="8328" w:h="13848" w:hRule="exact" w:wrap="around" w:vAnchor="page" w:hAnchor="page" w:x="1796" w:y="1419"/>
        <w:shd w:val="clear" w:color="auto" w:fill="auto"/>
        <w:spacing w:before="0" w:after="0"/>
        <w:ind w:left="20" w:right="20" w:firstLine="720"/>
        <w:rPr>
          <w:lang w:val="cs-CZ"/>
        </w:rPr>
      </w:pPr>
      <w:r w:rsidRPr="004E562E">
        <w:rPr>
          <w:lang w:val="cs-CZ"/>
        </w:rPr>
        <w:t xml:space="preserve">Neexistuje přímé spojení ani souvislost mezi starozákonním kněžstvím nebo prorockou službou a kazatelskou službou. Starozákonní kněžství došlo vrcholu svého naplnění v jedinečném kněžství Ježíše Krista, </w:t>
      </w:r>
      <w:r w:rsidR="004E562E" w:rsidRPr="004E562E">
        <w:rPr>
          <w:lang w:val="cs-CZ"/>
        </w:rPr>
        <w:t>kter</w:t>
      </w:r>
      <w:r w:rsidR="002C50D2">
        <w:rPr>
          <w:lang w:val="cs-CZ"/>
        </w:rPr>
        <w:t>é</w:t>
      </w:r>
      <w:r w:rsidRPr="004E562E">
        <w:rPr>
          <w:lang w:val="cs-CZ"/>
        </w:rPr>
        <w:t xml:space="preserve"> je základem pro všeobecné kněžství všech věřících. Služba starozákonních proroků pokračuje především díky daru proroctví, který však uděluje sám Bůh. </w:t>
      </w:r>
      <w:r w:rsidR="00200A2B" w:rsidRPr="004E562E">
        <w:rPr>
          <w:lang w:val="cs-CZ"/>
        </w:rPr>
        <w:t>U</w:t>
      </w:r>
      <w:r w:rsidRPr="004E562E">
        <w:rPr>
          <w:lang w:val="cs-CZ"/>
        </w:rPr>
        <w:t>znáváme</w:t>
      </w:r>
      <w:r w:rsidR="00200A2B" w:rsidRPr="004E562E">
        <w:rPr>
          <w:lang w:val="cs-CZ"/>
        </w:rPr>
        <w:t xml:space="preserve"> rovněž</w:t>
      </w:r>
      <w:r w:rsidRPr="004E562E">
        <w:rPr>
          <w:lang w:val="cs-CZ"/>
        </w:rPr>
        <w:t xml:space="preserve">, že poslání církve má </w:t>
      </w:r>
      <w:r w:rsidR="00200A2B" w:rsidRPr="004E562E">
        <w:rPr>
          <w:lang w:val="cs-CZ"/>
        </w:rPr>
        <w:t xml:space="preserve">i prorocký rozměr v </w:t>
      </w:r>
      <w:r w:rsidR="004E562E" w:rsidRPr="004E562E">
        <w:rPr>
          <w:lang w:val="cs-CZ"/>
        </w:rPr>
        <w:t>hlásání</w:t>
      </w:r>
      <w:r w:rsidR="00200A2B" w:rsidRPr="004E562E">
        <w:rPr>
          <w:lang w:val="cs-CZ"/>
        </w:rPr>
        <w:t xml:space="preserve"> věčného evangelia. </w:t>
      </w:r>
    </w:p>
    <w:p w:rsidR="00EA7767" w:rsidRPr="004E562E" w:rsidRDefault="00E05DCC">
      <w:pPr>
        <w:pStyle w:val="Headerorfooter0"/>
        <w:framePr w:wrap="around" w:vAnchor="page" w:hAnchor="page" w:x="5876" w:y="15868"/>
        <w:shd w:val="clear" w:color="auto" w:fill="auto"/>
        <w:spacing w:line="170" w:lineRule="exact"/>
        <w:jc w:val="both"/>
        <w:rPr>
          <w:lang w:val="cs-CZ"/>
        </w:rPr>
      </w:pPr>
      <w:r w:rsidRPr="004E562E">
        <w:rPr>
          <w:rStyle w:val="Headerorfooter9pt"/>
          <w:lang w:val="cs-CZ"/>
        </w:rPr>
        <w:t>2</w:t>
      </w:r>
    </w:p>
    <w:p w:rsidR="00EA7767" w:rsidRPr="004E562E" w:rsidRDefault="00EA7767">
      <w:pPr>
        <w:rPr>
          <w:sz w:val="2"/>
          <w:szCs w:val="2"/>
          <w:lang w:val="cs-CZ"/>
        </w:rPr>
        <w:sectPr w:rsidR="00EA7767" w:rsidRPr="004E562E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EA7767" w:rsidRPr="004E562E" w:rsidRDefault="008922F3" w:rsidP="005A276C">
      <w:pPr>
        <w:pStyle w:val="Zkladntext1"/>
        <w:framePr w:w="8309" w:h="10764" w:hRule="exact" w:wrap="around" w:vAnchor="page" w:hAnchor="page" w:x="1806" w:y="1759"/>
        <w:shd w:val="clear" w:color="auto" w:fill="auto"/>
        <w:spacing w:before="0" w:after="0"/>
        <w:ind w:left="20" w:right="20" w:firstLine="720"/>
        <w:rPr>
          <w:lang w:val="cs-CZ"/>
        </w:rPr>
      </w:pPr>
      <w:r w:rsidRPr="004E562E">
        <w:rPr>
          <w:lang w:val="cs-CZ"/>
        </w:rPr>
        <w:lastRenderedPageBreak/>
        <w:t>Chápeme, že je zřejmý protiklad mezi těmi texty, které se jeví</w:t>
      </w:r>
      <w:r w:rsidR="002C50D2">
        <w:rPr>
          <w:lang w:val="cs-CZ"/>
        </w:rPr>
        <w:t xml:space="preserve"> jako podpora</w:t>
      </w:r>
      <w:r w:rsidRPr="004E562E">
        <w:rPr>
          <w:lang w:val="cs-CZ"/>
        </w:rPr>
        <w:t xml:space="preserve"> veřejné</w:t>
      </w:r>
      <w:r w:rsidR="002C50D2">
        <w:rPr>
          <w:lang w:val="cs-CZ"/>
        </w:rPr>
        <w:t>ho</w:t>
      </w:r>
      <w:r w:rsidRPr="004E562E">
        <w:rPr>
          <w:lang w:val="cs-CZ"/>
        </w:rPr>
        <w:t xml:space="preserve"> projev</w:t>
      </w:r>
      <w:r w:rsidR="002C50D2">
        <w:rPr>
          <w:lang w:val="cs-CZ"/>
        </w:rPr>
        <w:t>u</w:t>
      </w:r>
      <w:r w:rsidRPr="004E562E">
        <w:rPr>
          <w:lang w:val="cs-CZ"/>
        </w:rPr>
        <w:t xml:space="preserve"> a učení žen a mezi těmi, které tyto činnosti nejspíše zakazují (Sk 18,26; 1 </w:t>
      </w:r>
      <w:proofErr w:type="spellStart"/>
      <w:r w:rsidRPr="004E562E">
        <w:rPr>
          <w:lang w:val="cs-CZ"/>
        </w:rPr>
        <w:t>Tm</w:t>
      </w:r>
      <w:proofErr w:type="spellEnd"/>
      <w:r w:rsidRPr="004E562E">
        <w:rPr>
          <w:lang w:val="cs-CZ"/>
        </w:rPr>
        <w:t xml:space="preserve"> 2,2 </w:t>
      </w:r>
      <w:r w:rsidR="00E05DCC" w:rsidRPr="004E562E">
        <w:rPr>
          <w:lang w:val="cs-CZ"/>
        </w:rPr>
        <w:t>[</w:t>
      </w:r>
      <w:proofErr w:type="spellStart"/>
      <w:r w:rsidRPr="004E562E">
        <w:rPr>
          <w:lang w:val="cs-CZ"/>
        </w:rPr>
        <w:t>řec</w:t>
      </w:r>
      <w:proofErr w:type="spellEnd"/>
      <w:r w:rsidR="00E05DCC" w:rsidRPr="004E562E">
        <w:rPr>
          <w:lang w:val="cs-CZ"/>
        </w:rPr>
        <w:t>.</w:t>
      </w:r>
      <w:r w:rsidR="00E05DCC" w:rsidRPr="004E562E">
        <w:rPr>
          <w:rStyle w:val="BodytextItalic"/>
          <w:lang w:val="cs-CZ"/>
        </w:rPr>
        <w:t xml:space="preserve"> </w:t>
      </w:r>
      <w:proofErr w:type="spellStart"/>
      <w:r w:rsidR="00E05DCC" w:rsidRPr="004E562E">
        <w:rPr>
          <w:rStyle w:val="BodytextItalic"/>
          <w:lang w:val="cs-CZ"/>
        </w:rPr>
        <w:t>anthropoi</w:t>
      </w:r>
      <w:proofErr w:type="spellEnd"/>
      <w:r w:rsidR="00E05DCC" w:rsidRPr="004E562E">
        <w:rPr>
          <w:lang w:val="cs-CZ"/>
        </w:rPr>
        <w:t xml:space="preserve"> </w:t>
      </w:r>
      <w:r w:rsidRPr="004E562E">
        <w:rPr>
          <w:lang w:val="cs-CZ"/>
        </w:rPr>
        <w:t>namísto</w:t>
      </w:r>
      <w:r w:rsidR="00E05DCC" w:rsidRPr="004E562E">
        <w:rPr>
          <w:rStyle w:val="BodytextItalic"/>
          <w:lang w:val="cs-CZ"/>
        </w:rPr>
        <w:t xml:space="preserve"> </w:t>
      </w:r>
      <w:proofErr w:type="spellStart"/>
      <w:r w:rsidR="00E05DCC" w:rsidRPr="004E562E">
        <w:rPr>
          <w:rStyle w:val="BodytextItalic"/>
          <w:lang w:val="cs-CZ"/>
        </w:rPr>
        <w:t>andres</w:t>
      </w:r>
      <w:proofErr w:type="spellEnd"/>
      <w:r w:rsidR="00E05DCC" w:rsidRPr="004E562E">
        <w:rPr>
          <w:rStyle w:val="BodytextItalic"/>
          <w:lang w:val="cs-CZ"/>
        </w:rPr>
        <w:t>];</w:t>
      </w:r>
      <w:r w:rsidR="00E05DCC" w:rsidRPr="004E562E">
        <w:rPr>
          <w:lang w:val="cs-CZ"/>
        </w:rPr>
        <w:t xml:space="preserve"> 1</w:t>
      </w:r>
      <w:r w:rsidRPr="004E562E">
        <w:rPr>
          <w:lang w:val="cs-CZ"/>
        </w:rPr>
        <w:t xml:space="preserve"> K </w:t>
      </w:r>
      <w:r w:rsidR="00E05DCC" w:rsidRPr="004E562E">
        <w:rPr>
          <w:lang w:val="cs-CZ"/>
        </w:rPr>
        <w:t>11</w:t>
      </w:r>
      <w:r w:rsidRPr="004E562E">
        <w:rPr>
          <w:lang w:val="cs-CZ"/>
        </w:rPr>
        <w:t>,</w:t>
      </w:r>
      <w:r w:rsidR="00E05DCC" w:rsidRPr="004E562E">
        <w:rPr>
          <w:lang w:val="cs-CZ"/>
        </w:rPr>
        <w:t xml:space="preserve">5; </w:t>
      </w:r>
      <w:r w:rsidRPr="004E562E">
        <w:rPr>
          <w:lang w:val="cs-CZ"/>
        </w:rPr>
        <w:t>srov</w:t>
      </w:r>
      <w:r w:rsidR="00E05DCC" w:rsidRPr="004E562E">
        <w:rPr>
          <w:lang w:val="cs-CZ"/>
        </w:rPr>
        <w:t>. 1</w:t>
      </w:r>
      <w:r w:rsidRPr="004E562E">
        <w:rPr>
          <w:lang w:val="cs-CZ"/>
        </w:rPr>
        <w:t xml:space="preserve"> </w:t>
      </w:r>
      <w:r w:rsidR="00DC4B9F">
        <w:rPr>
          <w:lang w:val="cs-CZ"/>
        </w:rPr>
        <w:t>K</w:t>
      </w:r>
      <w:r w:rsidRPr="004E562E">
        <w:rPr>
          <w:lang w:val="cs-CZ"/>
        </w:rPr>
        <w:t xml:space="preserve"> 14,34; 2 </w:t>
      </w:r>
      <w:proofErr w:type="spellStart"/>
      <w:r w:rsidRPr="004E562E">
        <w:rPr>
          <w:lang w:val="cs-CZ"/>
        </w:rPr>
        <w:t>Tm</w:t>
      </w:r>
      <w:proofErr w:type="spellEnd"/>
      <w:r w:rsidRPr="004E562E">
        <w:rPr>
          <w:lang w:val="cs-CZ"/>
        </w:rPr>
        <w:t xml:space="preserve"> 2,11-12; atd.) Rozdíl mezi oficiálním a neoficiálním zdravým </w:t>
      </w:r>
      <w:r w:rsidR="00DC4B9F">
        <w:rPr>
          <w:lang w:val="cs-CZ"/>
        </w:rPr>
        <w:t>vyučováním</w:t>
      </w:r>
      <w:r w:rsidRPr="004E562E">
        <w:rPr>
          <w:lang w:val="cs-CZ"/>
        </w:rPr>
        <w:t xml:space="preserve"> Bible zřejmě neudává a nemůže tak vyřešit otázku ordinace žen.</w:t>
      </w:r>
    </w:p>
    <w:p w:rsidR="00EA7767" w:rsidRPr="004E562E" w:rsidRDefault="008922F3" w:rsidP="005A276C">
      <w:pPr>
        <w:pStyle w:val="Zkladntext1"/>
        <w:framePr w:w="8309" w:h="10764" w:hRule="exact" w:wrap="around" w:vAnchor="page" w:hAnchor="page" w:x="1806" w:y="1759"/>
        <w:shd w:val="clear" w:color="auto" w:fill="auto"/>
        <w:spacing w:before="0" w:after="291"/>
        <w:ind w:left="20" w:right="20" w:firstLine="720"/>
        <w:rPr>
          <w:lang w:val="cs-CZ"/>
        </w:rPr>
      </w:pPr>
      <w:r w:rsidRPr="004E562E">
        <w:rPr>
          <w:lang w:val="cs-CZ"/>
        </w:rPr>
        <w:t xml:space="preserve">Existuje mnoho možností služby, do které mohou být zapojeni jak muži, tak i ženy. Když ale přijde na to, že je někdo ordinován jako kazatel, je to v </w:t>
      </w:r>
      <w:r w:rsidR="004E562E" w:rsidRPr="004E562E">
        <w:rPr>
          <w:lang w:val="cs-CZ"/>
        </w:rPr>
        <w:t>současnosti</w:t>
      </w:r>
      <w:r w:rsidRPr="004E562E">
        <w:rPr>
          <w:lang w:val="cs-CZ"/>
        </w:rPr>
        <w:t xml:space="preserve"> vyhrazeno pouze mužům. Co je na ordinaci tak specifického, že to vyžaduje rozlišov</w:t>
      </w:r>
      <w:r w:rsidR="00DC4B9F">
        <w:rPr>
          <w:lang w:val="cs-CZ"/>
        </w:rPr>
        <w:t>at</w:t>
      </w:r>
      <w:r w:rsidRPr="004E562E">
        <w:rPr>
          <w:lang w:val="cs-CZ"/>
        </w:rPr>
        <w:t xml:space="preserve"> mezi pohlavím</w:t>
      </w:r>
      <w:r w:rsidR="00DC4B9F">
        <w:rPr>
          <w:lang w:val="cs-CZ"/>
        </w:rPr>
        <w:t>i</w:t>
      </w:r>
      <w:r w:rsidRPr="004E562E">
        <w:rPr>
          <w:lang w:val="cs-CZ"/>
        </w:rPr>
        <w:t xml:space="preserve">, </w:t>
      </w:r>
      <w:r w:rsidR="00E01A74">
        <w:rPr>
          <w:lang w:val="cs-CZ"/>
        </w:rPr>
        <w:t xml:space="preserve">ale není už to potřeba </w:t>
      </w:r>
      <w:r w:rsidRPr="004E562E">
        <w:rPr>
          <w:lang w:val="cs-CZ"/>
        </w:rPr>
        <w:t xml:space="preserve">u nižších úrovní služby? Pokud to není o vykonávání určitých úkonů, není to </w:t>
      </w:r>
      <w:r w:rsidR="00DC4B9F">
        <w:rPr>
          <w:lang w:val="cs-CZ"/>
        </w:rPr>
        <w:t>tedy</w:t>
      </w:r>
      <w:r w:rsidRPr="004E562E">
        <w:rPr>
          <w:lang w:val="cs-CZ"/>
        </w:rPr>
        <w:t xml:space="preserve"> otázkou ordinace, ale něčeho jiného – autority. Uznáváme rovněž, že v </w:t>
      </w:r>
      <w:r w:rsidR="004E562E" w:rsidRPr="004E562E">
        <w:rPr>
          <w:lang w:val="cs-CZ"/>
        </w:rPr>
        <w:t>Bibli nenacházíme žádnou zmínku o tom, že by nějaká žena byla uvedena obřadem do služebnosti, přestože některé ženy sloužily jako učitelky, diakonky, prorokyně a vůdkyně.</w:t>
      </w:r>
    </w:p>
    <w:p w:rsidR="00EA7767" w:rsidRPr="004E562E" w:rsidRDefault="00E05DCC" w:rsidP="005A276C">
      <w:pPr>
        <w:pStyle w:val="Heading20"/>
        <w:framePr w:w="8309" w:h="10764" w:hRule="exact" w:wrap="around" w:vAnchor="page" w:hAnchor="page" w:x="1806" w:y="1759"/>
        <w:shd w:val="clear" w:color="auto" w:fill="auto"/>
        <w:spacing w:before="0" w:after="272" w:line="210" w:lineRule="exact"/>
        <w:ind w:left="20"/>
        <w:jc w:val="left"/>
        <w:rPr>
          <w:lang w:val="cs-CZ"/>
        </w:rPr>
      </w:pPr>
      <w:bookmarkStart w:id="6" w:name="bookmark7"/>
      <w:r w:rsidRPr="004E562E">
        <w:rPr>
          <w:lang w:val="cs-CZ"/>
        </w:rPr>
        <w:t xml:space="preserve">3. </w:t>
      </w:r>
      <w:bookmarkEnd w:id="6"/>
      <w:r w:rsidR="004E562E" w:rsidRPr="004E562E">
        <w:rPr>
          <w:lang w:val="cs-CZ"/>
        </w:rPr>
        <w:t>Závěr</w:t>
      </w:r>
    </w:p>
    <w:p w:rsidR="00261ED0" w:rsidRDefault="004E562E" w:rsidP="00261ED0">
      <w:pPr>
        <w:pStyle w:val="Zkladntext1"/>
        <w:framePr w:w="8309" w:h="10764" w:hRule="exact" w:wrap="around" w:vAnchor="page" w:hAnchor="page" w:x="1806" w:y="1759"/>
        <w:shd w:val="clear" w:color="auto" w:fill="auto"/>
        <w:spacing w:before="0" w:after="0"/>
        <w:ind w:left="20" w:right="20" w:firstLine="720"/>
        <w:rPr>
          <w:lang w:val="cs-CZ"/>
        </w:rPr>
      </w:pPr>
      <w:r w:rsidRPr="004E562E">
        <w:rPr>
          <w:lang w:val="cs-CZ"/>
        </w:rPr>
        <w:t xml:space="preserve">Jelikož ordinace žen neprotiřečí biblickému učení a může pomoci při misijní činnosti církve, myslíme si, že je zde </w:t>
      </w:r>
      <w:r w:rsidR="00DC4B9F" w:rsidRPr="004E562E">
        <w:rPr>
          <w:lang w:val="cs-CZ"/>
        </w:rPr>
        <w:t xml:space="preserve">v církvi </w:t>
      </w:r>
      <w:r w:rsidRPr="004E562E">
        <w:rPr>
          <w:lang w:val="cs-CZ"/>
        </w:rPr>
        <w:t xml:space="preserve">prostor, aby ženy byly ordinovány do kazatelské služby. Jako církev poměrně volně rozvíjela svou organizační strukturu, aby pokročila v poslání, které stojí na biblických principech, měli bychom vnímat otázku ordinace ne jako biblickou otázku, ale něco, co by mělo být řešeno na administrativní úrovni. </w:t>
      </w:r>
    </w:p>
    <w:p w:rsidR="00261ED0" w:rsidRDefault="00261ED0" w:rsidP="00261ED0">
      <w:pPr>
        <w:pStyle w:val="Zkladntext1"/>
        <w:framePr w:w="8309" w:h="10764" w:hRule="exact" w:wrap="around" w:vAnchor="page" w:hAnchor="page" w:x="1806" w:y="1759"/>
        <w:shd w:val="clear" w:color="auto" w:fill="auto"/>
        <w:spacing w:before="0" w:after="0"/>
        <w:ind w:left="20" w:right="20" w:firstLine="720"/>
        <w:rPr>
          <w:lang w:val="cs-CZ"/>
        </w:rPr>
      </w:pPr>
    </w:p>
    <w:p w:rsidR="0017615A" w:rsidRDefault="0017615A" w:rsidP="0017615A">
      <w:pPr>
        <w:pStyle w:val="Zkladntext1"/>
        <w:framePr w:w="8309" w:h="10764" w:hRule="exact" w:wrap="around" w:vAnchor="page" w:hAnchor="page" w:x="1806" w:y="1759"/>
        <w:shd w:val="clear" w:color="auto" w:fill="auto"/>
        <w:spacing w:before="0" w:after="0"/>
        <w:ind w:left="1416" w:right="20" w:firstLine="708"/>
        <w:rPr>
          <w:b/>
          <w:lang w:val="cs-CZ"/>
        </w:rPr>
      </w:pPr>
      <w:r w:rsidRPr="0017615A">
        <w:rPr>
          <w:b/>
          <w:lang w:val="cs-CZ"/>
        </w:rPr>
        <w:t>Stanovisko výboru Inter-evropské divize</w:t>
      </w:r>
    </w:p>
    <w:p w:rsidR="0017615A" w:rsidRPr="0017615A" w:rsidRDefault="0017615A" w:rsidP="0017615A">
      <w:pPr>
        <w:pStyle w:val="Zkladntext1"/>
        <w:framePr w:w="8309" w:h="10764" w:hRule="exact" w:wrap="around" w:vAnchor="page" w:hAnchor="page" w:x="1806" w:y="1759"/>
        <w:shd w:val="clear" w:color="auto" w:fill="auto"/>
        <w:spacing w:before="0" w:after="0"/>
        <w:ind w:right="20" w:firstLine="0"/>
        <w:rPr>
          <w:b/>
          <w:lang w:val="cs-CZ"/>
        </w:rPr>
      </w:pPr>
    </w:p>
    <w:p w:rsidR="005A276C" w:rsidRPr="002C5803" w:rsidRDefault="009C6675" w:rsidP="00261ED0">
      <w:pPr>
        <w:pStyle w:val="Zkladntext1"/>
        <w:framePr w:w="8309" w:h="10764" w:hRule="exact" w:wrap="around" w:vAnchor="page" w:hAnchor="page" w:x="1806" w:y="1759"/>
        <w:shd w:val="clear" w:color="auto" w:fill="auto"/>
        <w:spacing w:before="0" w:after="0"/>
        <w:ind w:left="20" w:right="20" w:firstLine="720"/>
        <w:rPr>
          <w:i/>
          <w:lang w:val="cs-CZ"/>
        </w:rPr>
      </w:pPr>
      <w:r>
        <w:rPr>
          <w:lang w:val="cs-CZ"/>
        </w:rPr>
        <w:t xml:space="preserve">Na základě </w:t>
      </w:r>
      <w:r w:rsidR="0017615A">
        <w:rPr>
          <w:lang w:val="cs-CZ"/>
        </w:rPr>
        <w:t>studie</w:t>
      </w:r>
      <w:r w:rsidR="005A276C" w:rsidRPr="00261ED0">
        <w:rPr>
          <w:lang w:val="cs-CZ"/>
        </w:rPr>
        <w:t xml:space="preserve"> </w:t>
      </w:r>
      <w:r w:rsidR="0017615A">
        <w:rPr>
          <w:lang w:val="cs-CZ"/>
        </w:rPr>
        <w:t>Biblického badatelského v</w:t>
      </w:r>
      <w:r w:rsidR="005A276C" w:rsidRPr="00261ED0">
        <w:rPr>
          <w:lang w:val="cs-CZ"/>
        </w:rPr>
        <w:t>ýboru</w:t>
      </w:r>
      <w:r w:rsidR="0017615A">
        <w:rPr>
          <w:lang w:val="cs-CZ"/>
        </w:rPr>
        <w:t xml:space="preserve"> </w:t>
      </w:r>
      <w:r>
        <w:rPr>
          <w:lang w:val="cs-CZ"/>
        </w:rPr>
        <w:t>doporučujeme</w:t>
      </w:r>
      <w:r w:rsidR="005A276C" w:rsidRPr="00261ED0">
        <w:rPr>
          <w:lang w:val="cs-CZ"/>
        </w:rPr>
        <w:t xml:space="preserve"> Teologickému výboru Generální konference </w:t>
      </w:r>
      <w:r w:rsidR="00D247CE">
        <w:rPr>
          <w:lang w:val="cs-CZ"/>
        </w:rPr>
        <w:t>pro</w:t>
      </w:r>
      <w:bookmarkStart w:id="7" w:name="_GoBack"/>
      <w:bookmarkEnd w:id="7"/>
      <w:r w:rsidR="005A276C" w:rsidRPr="00261ED0">
        <w:rPr>
          <w:lang w:val="cs-CZ"/>
        </w:rPr>
        <w:t xml:space="preserve"> ordinaci, aby schválil ordinaci žen ke kazatelské službě a zároveň vzal v úvahu umožn</w:t>
      </w:r>
      <w:r w:rsidR="002C5803" w:rsidRPr="00261ED0">
        <w:rPr>
          <w:lang w:val="cs-CZ"/>
        </w:rPr>
        <w:t>ění</w:t>
      </w:r>
      <w:r w:rsidR="005A276C" w:rsidRPr="00261ED0">
        <w:rPr>
          <w:lang w:val="cs-CZ"/>
        </w:rPr>
        <w:t xml:space="preserve"> ordin</w:t>
      </w:r>
      <w:r w:rsidR="002C5803" w:rsidRPr="00261ED0">
        <w:rPr>
          <w:lang w:val="cs-CZ"/>
        </w:rPr>
        <w:t>ace</w:t>
      </w:r>
      <w:r w:rsidR="005A276C" w:rsidRPr="00261ED0">
        <w:rPr>
          <w:lang w:val="cs-CZ"/>
        </w:rPr>
        <w:t xml:space="preserve"> žen podle potřeb jednotlivých oblastí.</w:t>
      </w:r>
      <w:r w:rsidR="005A276C" w:rsidRPr="002C5803">
        <w:rPr>
          <w:i/>
          <w:lang w:val="cs-CZ"/>
        </w:rPr>
        <w:t xml:space="preserve"> </w:t>
      </w:r>
    </w:p>
    <w:p w:rsidR="00EA7767" w:rsidRPr="004E562E" w:rsidRDefault="00E05DCC">
      <w:pPr>
        <w:pStyle w:val="Headerorfooter0"/>
        <w:framePr w:wrap="around" w:vAnchor="page" w:hAnchor="page" w:x="5881" w:y="15868"/>
        <w:shd w:val="clear" w:color="auto" w:fill="auto"/>
        <w:spacing w:line="170" w:lineRule="exact"/>
        <w:jc w:val="both"/>
        <w:rPr>
          <w:lang w:val="cs-CZ"/>
        </w:rPr>
      </w:pPr>
      <w:r w:rsidRPr="004E562E">
        <w:rPr>
          <w:rStyle w:val="Headerorfooter9pt"/>
          <w:lang w:val="cs-CZ"/>
        </w:rPr>
        <w:t>3</w:t>
      </w:r>
    </w:p>
    <w:p w:rsidR="00EA7767" w:rsidRPr="004E562E" w:rsidRDefault="00EA7767">
      <w:pPr>
        <w:rPr>
          <w:sz w:val="2"/>
          <w:szCs w:val="2"/>
          <w:lang w:val="cs-CZ"/>
        </w:rPr>
      </w:pPr>
    </w:p>
    <w:sectPr w:rsidR="00EA7767" w:rsidRPr="004E562E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07" w:rsidRDefault="008B0807">
      <w:r>
        <w:separator/>
      </w:r>
    </w:p>
  </w:endnote>
  <w:endnote w:type="continuationSeparator" w:id="0">
    <w:p w:rsidR="008B0807" w:rsidRDefault="008B0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07" w:rsidRDefault="008B0807"/>
  </w:footnote>
  <w:footnote w:type="continuationSeparator" w:id="0">
    <w:p w:rsidR="008B0807" w:rsidRDefault="008B08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130"/>
    <w:multiLevelType w:val="multilevel"/>
    <w:tmpl w:val="26366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180C77"/>
    <w:multiLevelType w:val="multilevel"/>
    <w:tmpl w:val="C1D47204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744D8E"/>
    <w:multiLevelType w:val="multilevel"/>
    <w:tmpl w:val="F40023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E40F0"/>
    <w:multiLevelType w:val="hybridMultilevel"/>
    <w:tmpl w:val="19041F5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5262A"/>
    <w:multiLevelType w:val="multilevel"/>
    <w:tmpl w:val="BDE80A5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767"/>
    <w:rsid w:val="00077857"/>
    <w:rsid w:val="000865BD"/>
    <w:rsid w:val="000D3F05"/>
    <w:rsid w:val="0017615A"/>
    <w:rsid w:val="00183D9E"/>
    <w:rsid w:val="00200A2B"/>
    <w:rsid w:val="00223898"/>
    <w:rsid w:val="00261ED0"/>
    <w:rsid w:val="0026207E"/>
    <w:rsid w:val="002C50D2"/>
    <w:rsid w:val="002C5803"/>
    <w:rsid w:val="00352E87"/>
    <w:rsid w:val="0041640D"/>
    <w:rsid w:val="004E562E"/>
    <w:rsid w:val="005A276C"/>
    <w:rsid w:val="005D0857"/>
    <w:rsid w:val="00843778"/>
    <w:rsid w:val="008922F3"/>
    <w:rsid w:val="008B0807"/>
    <w:rsid w:val="009A072A"/>
    <w:rsid w:val="009C6675"/>
    <w:rsid w:val="00A031E6"/>
    <w:rsid w:val="00B8703A"/>
    <w:rsid w:val="00C4711F"/>
    <w:rsid w:val="00C85BA7"/>
    <w:rsid w:val="00CC3D60"/>
    <w:rsid w:val="00D247CE"/>
    <w:rsid w:val="00D66B8D"/>
    <w:rsid w:val="00D8210D"/>
    <w:rsid w:val="00D82F1C"/>
    <w:rsid w:val="00DC4B9F"/>
    <w:rsid w:val="00E01A74"/>
    <w:rsid w:val="00E05DCC"/>
    <w:rsid w:val="00EA7767"/>
    <w:rsid w:val="00F6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8"/>
      <w:szCs w:val="28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Bodytext">
    <w:name w:val="Body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pt">
    <w:name w:val="Header or footer + 9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" w:after="48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before="480" w:after="240" w:line="274" w:lineRule="exact"/>
      <w:ind w:hanging="36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Heading1">
    <w:name w:val="Heading #1_"/>
    <w:basedOn w:val="Standardnpsmoodstavce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8"/>
      <w:szCs w:val="28"/>
    </w:rPr>
  </w:style>
  <w:style w:type="character" w:customStyle="1" w:styleId="Heading2">
    <w:name w:val="Heading #2_"/>
    <w:basedOn w:val="Standardnpsmoodstavce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Bodytext">
    <w:name w:val="Body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character" w:customStyle="1" w:styleId="Headerorfooter">
    <w:name w:val="Header or footer_"/>
    <w:basedOn w:val="Standardnpsmoodstavce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pt">
    <w:name w:val="Header or footer + 9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Bodytext2">
    <w:name w:val="Body text (2)_"/>
    <w:basedOn w:val="Standardnpsmoodstavce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1"/>
      <w:szCs w:val="21"/>
    </w:rPr>
  </w:style>
  <w:style w:type="character" w:customStyle="1" w:styleId="BodytextItalic">
    <w:name w:val="Body text + Italic"/>
    <w:basedOn w:val="Body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60" w:after="48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4"/>
      <w:sz w:val="21"/>
      <w:szCs w:val="21"/>
    </w:rPr>
  </w:style>
  <w:style w:type="paragraph" w:customStyle="1" w:styleId="Zkladntext1">
    <w:name w:val="Základní text1"/>
    <w:basedOn w:val="Normln"/>
    <w:link w:val="Bodytext"/>
    <w:pPr>
      <w:shd w:val="clear" w:color="auto" w:fill="FFFFFF"/>
      <w:spacing w:before="480" w:after="240" w:line="274" w:lineRule="exact"/>
      <w:ind w:hanging="360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i/>
      <w:iCs/>
      <w:spacing w:val="-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BRC – Draft on Ordination 02</vt:lpstr>
    </vt:vector>
  </TitlesOfParts>
  <Company>Církev adventistů sedmého dne</Company>
  <LinksUpToDate>false</LinksUpToDate>
  <CharactersWithSpaces>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BRC – Draft on Ordination 02</dc:title>
  <dc:creator>GP</dc:creator>
  <cp:lastModifiedBy>Pavlik</cp:lastModifiedBy>
  <cp:revision>6</cp:revision>
  <dcterms:created xsi:type="dcterms:W3CDTF">2014-01-24T13:35:00Z</dcterms:created>
  <dcterms:modified xsi:type="dcterms:W3CDTF">2014-01-24T18:45:00Z</dcterms:modified>
</cp:coreProperties>
</file>